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ABEDC" w14:textId="77777777" w:rsidR="009505FB" w:rsidRPr="00C0711F" w:rsidRDefault="003771BC">
      <w:pPr>
        <w:pStyle w:val="Tytu"/>
        <w:spacing w:before="61"/>
        <w:rPr>
          <w:sz w:val="44"/>
        </w:rPr>
      </w:pPr>
      <w:r w:rsidRPr="00C0711F">
        <w:rPr>
          <w:color w:val="231F20"/>
          <w:sz w:val="44"/>
          <w:lang w:val="en-GB"/>
        </w:rPr>
        <w:t>COMMITTEE</w:t>
      </w:r>
    </w:p>
    <w:p w14:paraId="25A8B0F3" w14:textId="77777777" w:rsidR="009505FB" w:rsidRPr="00C0711F" w:rsidRDefault="003771BC">
      <w:pPr>
        <w:pStyle w:val="Tytu"/>
        <w:ind w:right="86"/>
        <w:rPr>
          <w:sz w:val="44"/>
        </w:rPr>
      </w:pPr>
      <w:r w:rsidRPr="00C0711F">
        <w:rPr>
          <w:color w:val="231F20"/>
          <w:sz w:val="44"/>
          <w:lang w:val="en-GB"/>
        </w:rPr>
        <w:t>FOR TYTUS FILIPOWICZ AWARD</w:t>
      </w:r>
    </w:p>
    <w:p w14:paraId="53992881" w14:textId="4A9D9600" w:rsidR="009505FB" w:rsidRPr="00C0711F" w:rsidRDefault="003771BC">
      <w:pPr>
        <w:spacing w:before="85" w:line="249" w:lineRule="auto"/>
        <w:ind w:left="86" w:right="86"/>
        <w:jc w:val="center"/>
        <w:rPr>
          <w:sz w:val="24"/>
        </w:rPr>
      </w:pPr>
      <w:r w:rsidRPr="00C0711F">
        <w:rPr>
          <w:color w:val="231F20"/>
          <w:sz w:val="24"/>
          <w:lang w:val="en-GB"/>
        </w:rPr>
        <w:t xml:space="preserve">created in 2018 on the 100th anniversary of the restoration of the Poland's and Georgia's sovereignty announces </w:t>
      </w:r>
      <w:r w:rsidR="00B210F4">
        <w:rPr>
          <w:color w:val="231F20"/>
          <w:sz w:val="24"/>
          <w:lang w:val="en-GB"/>
        </w:rPr>
        <w:t>recruitment of candidacies</w:t>
      </w:r>
      <w:r w:rsidRPr="00C0711F">
        <w:rPr>
          <w:color w:val="231F20"/>
          <w:sz w:val="24"/>
          <w:lang w:val="en-GB"/>
        </w:rPr>
        <w:t xml:space="preserve"> for the Award</w:t>
      </w:r>
    </w:p>
    <w:p w14:paraId="35B3BF9F" w14:textId="2FA337FA" w:rsidR="009505FB" w:rsidRPr="00C0711F" w:rsidRDefault="003771BC">
      <w:pPr>
        <w:spacing w:before="132"/>
        <w:ind w:left="85" w:right="86"/>
        <w:jc w:val="center"/>
        <w:rPr>
          <w:b/>
          <w:sz w:val="32"/>
        </w:rPr>
      </w:pPr>
      <w:r w:rsidRPr="00C0711F">
        <w:rPr>
          <w:b/>
          <w:bCs/>
          <w:color w:val="231F20"/>
          <w:sz w:val="32"/>
          <w:lang w:val="en-GB"/>
        </w:rPr>
        <w:t>FOR ACADEMIC YEAR 2021/2022</w:t>
      </w:r>
    </w:p>
    <w:p w14:paraId="4BCAF9AC" w14:textId="77777777" w:rsidR="009505FB" w:rsidRPr="00C0711F" w:rsidRDefault="003771BC">
      <w:pPr>
        <w:pStyle w:val="Tekstpodstawowy"/>
        <w:spacing w:before="5"/>
        <w:rPr>
          <w:b/>
          <w:sz w:val="22"/>
        </w:rPr>
      </w:pPr>
      <w:r w:rsidRPr="00C0711F">
        <w:rPr>
          <w:noProof/>
          <w:sz w:val="18"/>
          <w:lang w:val="pl-PL" w:eastAsia="pl-PL" w:bidi="ar-SA"/>
        </w:rPr>
        <w:drawing>
          <wp:anchor distT="0" distB="0" distL="0" distR="0" simplePos="0" relativeHeight="251658240" behindDoc="0" locked="0" layoutInCell="1" allowOverlap="1" wp14:anchorId="5AC0A6E8" wp14:editId="2BCFF57D">
            <wp:simplePos x="0" y="0"/>
            <wp:positionH relativeFrom="page">
              <wp:posOffset>2435059</wp:posOffset>
            </wp:positionH>
            <wp:positionV relativeFrom="paragraph">
              <wp:posOffset>203532</wp:posOffset>
            </wp:positionV>
            <wp:extent cx="2675900" cy="3534822"/>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675900" cy="3534822"/>
                    </a:xfrm>
                    <a:prstGeom prst="rect">
                      <a:avLst/>
                    </a:prstGeom>
                  </pic:spPr>
                </pic:pic>
              </a:graphicData>
            </a:graphic>
          </wp:anchor>
        </w:drawing>
      </w:r>
    </w:p>
    <w:p w14:paraId="44D91D31" w14:textId="77777777" w:rsidR="009505FB" w:rsidRPr="00C0711F" w:rsidRDefault="003771BC">
      <w:pPr>
        <w:ind w:left="70" w:right="86"/>
        <w:jc w:val="center"/>
        <w:rPr>
          <w:i/>
          <w:sz w:val="14"/>
        </w:rPr>
      </w:pPr>
      <w:r w:rsidRPr="00C0711F">
        <w:rPr>
          <w:i/>
          <w:iCs/>
          <w:color w:val="231F20"/>
          <w:sz w:val="14"/>
          <w:lang w:val="en-GB"/>
        </w:rPr>
        <w:t>Tytus Filipowicz (1873-1953)</w:t>
      </w:r>
    </w:p>
    <w:p w14:paraId="5841B53E" w14:textId="77777777" w:rsidR="009505FB" w:rsidRPr="00C0711F" w:rsidRDefault="009505FB">
      <w:pPr>
        <w:pStyle w:val="Tekstpodstawowy"/>
        <w:spacing w:before="0"/>
        <w:rPr>
          <w:i/>
          <w:sz w:val="18"/>
        </w:rPr>
      </w:pPr>
    </w:p>
    <w:p w14:paraId="6BD3008F" w14:textId="77777777" w:rsidR="009505FB" w:rsidRPr="00C0711F" w:rsidRDefault="009505FB">
      <w:pPr>
        <w:pStyle w:val="Tekstpodstawowy"/>
        <w:spacing w:before="8"/>
        <w:rPr>
          <w:i/>
        </w:rPr>
      </w:pPr>
    </w:p>
    <w:p w14:paraId="18C96384" w14:textId="77777777" w:rsidR="009505FB" w:rsidRPr="00C0711F" w:rsidRDefault="003771BC">
      <w:pPr>
        <w:pStyle w:val="Nagwek2"/>
        <w:spacing w:before="93"/>
        <w:ind w:right="86"/>
        <w:rPr>
          <w:sz w:val="18"/>
        </w:rPr>
      </w:pPr>
      <w:r w:rsidRPr="00C0711F">
        <w:rPr>
          <w:color w:val="231F20"/>
          <w:sz w:val="18"/>
          <w:lang w:val="en-GB"/>
        </w:rPr>
        <w:t>TYTUS FILIPOWICZ AWARD</w:t>
      </w:r>
    </w:p>
    <w:p w14:paraId="00FB7248" w14:textId="77777777" w:rsidR="009505FB" w:rsidRPr="00C0711F" w:rsidRDefault="003771BC">
      <w:pPr>
        <w:pStyle w:val="Tekstpodstawowy"/>
        <w:spacing w:line="249" w:lineRule="auto"/>
        <w:ind w:left="1150" w:right="1152"/>
        <w:jc w:val="center"/>
        <w:rPr>
          <w:sz w:val="18"/>
        </w:rPr>
      </w:pPr>
      <w:r w:rsidRPr="00C0711F">
        <w:rPr>
          <w:color w:val="231F20"/>
          <w:sz w:val="18"/>
          <w:lang w:val="en-GB"/>
        </w:rPr>
        <w:t>a 10-month scientific and didactic stay at Polish higher education institutions for the candidate in the field of the humanities or social sciences</w:t>
      </w:r>
    </w:p>
    <w:p w14:paraId="495BF7E4" w14:textId="77777777" w:rsidR="009505FB" w:rsidRPr="00C0711F" w:rsidRDefault="003771BC">
      <w:pPr>
        <w:pStyle w:val="Tekstpodstawowy"/>
        <w:spacing w:before="2"/>
        <w:ind w:left="86" w:right="86"/>
        <w:jc w:val="center"/>
        <w:rPr>
          <w:sz w:val="18"/>
        </w:rPr>
      </w:pPr>
      <w:r w:rsidRPr="00C0711F">
        <w:rPr>
          <w:color w:val="231F20"/>
          <w:sz w:val="18"/>
          <w:lang w:val="en-GB"/>
        </w:rPr>
        <w:t>and</w:t>
      </w:r>
    </w:p>
    <w:p w14:paraId="6841C775" w14:textId="77777777" w:rsidR="009505FB" w:rsidRPr="00C0711F" w:rsidRDefault="003771BC">
      <w:pPr>
        <w:pStyle w:val="Nagwek2"/>
        <w:spacing w:before="10"/>
        <w:ind w:right="86"/>
        <w:rPr>
          <w:sz w:val="18"/>
        </w:rPr>
      </w:pPr>
      <w:r w:rsidRPr="00C0711F">
        <w:rPr>
          <w:color w:val="231F20"/>
          <w:sz w:val="18"/>
          <w:lang w:val="en-GB"/>
        </w:rPr>
        <w:t>5 TRAINEESHIPS RELATED TO THE AWARD</w:t>
      </w:r>
    </w:p>
    <w:p w14:paraId="3E8DD2CF" w14:textId="77777777" w:rsidR="009505FB" w:rsidRPr="00C0711F" w:rsidRDefault="003771BC">
      <w:pPr>
        <w:pStyle w:val="Akapitzlist"/>
        <w:numPr>
          <w:ilvl w:val="0"/>
          <w:numId w:val="5"/>
        </w:numPr>
        <w:tabs>
          <w:tab w:val="left" w:pos="1063"/>
        </w:tabs>
        <w:ind w:hanging="1063"/>
        <w:rPr>
          <w:sz w:val="18"/>
        </w:rPr>
      </w:pPr>
      <w:r w:rsidRPr="00C0711F">
        <w:rPr>
          <w:color w:val="231F20"/>
          <w:sz w:val="18"/>
          <w:lang w:val="en-GB"/>
        </w:rPr>
        <w:t>monthly research stays at Polish higher education institutions for candidates in the field of:</w:t>
      </w:r>
    </w:p>
    <w:p w14:paraId="61DD19FA" w14:textId="778A9E92" w:rsidR="009505FB" w:rsidRPr="00C0711F" w:rsidRDefault="003771BC">
      <w:pPr>
        <w:pStyle w:val="Tekstpodstawowy"/>
        <w:ind w:left="86" w:right="86"/>
        <w:jc w:val="center"/>
        <w:rPr>
          <w:sz w:val="18"/>
        </w:rPr>
      </w:pPr>
      <w:r w:rsidRPr="00C0711F">
        <w:rPr>
          <w:color w:val="231F20"/>
          <w:sz w:val="18"/>
          <w:lang w:val="en-GB"/>
        </w:rPr>
        <w:t xml:space="preserve">– social </w:t>
      </w:r>
      <w:r w:rsidR="00800875" w:rsidRPr="00C0711F">
        <w:rPr>
          <w:color w:val="231F20"/>
          <w:sz w:val="18"/>
          <w:lang w:val="en-GB"/>
        </w:rPr>
        <w:t>sciences</w:t>
      </w:r>
      <w:r w:rsidRPr="00C0711F">
        <w:rPr>
          <w:color w:val="231F20"/>
          <w:sz w:val="18"/>
          <w:lang w:val="en-GB"/>
        </w:rPr>
        <w:t>,</w:t>
      </w:r>
    </w:p>
    <w:p w14:paraId="7A3A704C" w14:textId="77777777" w:rsidR="009505FB" w:rsidRPr="00C0711F" w:rsidRDefault="003771BC">
      <w:pPr>
        <w:pStyle w:val="Tekstpodstawowy"/>
        <w:ind w:left="86" w:right="86"/>
        <w:jc w:val="center"/>
        <w:rPr>
          <w:sz w:val="18"/>
        </w:rPr>
      </w:pPr>
      <w:r w:rsidRPr="00C0711F">
        <w:rPr>
          <w:color w:val="231F20"/>
          <w:sz w:val="18"/>
          <w:lang w:val="en-GB"/>
        </w:rPr>
        <w:t>– exact sciences,</w:t>
      </w:r>
    </w:p>
    <w:p w14:paraId="2EF303B4" w14:textId="77777777" w:rsidR="009505FB" w:rsidRPr="00C0711F" w:rsidRDefault="003771BC">
      <w:pPr>
        <w:pStyle w:val="Akapitzlist"/>
        <w:numPr>
          <w:ilvl w:val="1"/>
          <w:numId w:val="5"/>
        </w:numPr>
        <w:tabs>
          <w:tab w:val="left" w:pos="4120"/>
        </w:tabs>
        <w:ind w:hanging="4120"/>
        <w:rPr>
          <w:sz w:val="18"/>
        </w:rPr>
      </w:pPr>
      <w:r w:rsidRPr="00C0711F">
        <w:rPr>
          <w:color w:val="231F20"/>
          <w:sz w:val="18"/>
          <w:lang w:val="en-GB"/>
        </w:rPr>
        <w:t>– economic sciences,</w:t>
      </w:r>
    </w:p>
    <w:p w14:paraId="3BE1E00A" w14:textId="77777777" w:rsidR="009505FB" w:rsidRPr="00C0711F" w:rsidRDefault="003771BC">
      <w:pPr>
        <w:pStyle w:val="Tekstpodstawowy"/>
        <w:ind w:left="86" w:right="86"/>
        <w:jc w:val="center"/>
        <w:rPr>
          <w:sz w:val="18"/>
        </w:rPr>
      </w:pPr>
      <w:r w:rsidRPr="00C0711F">
        <w:rPr>
          <w:color w:val="231F20"/>
          <w:sz w:val="18"/>
          <w:lang w:val="en-GB"/>
        </w:rPr>
        <w:t>– technical sciences,</w:t>
      </w:r>
    </w:p>
    <w:p w14:paraId="635CBCB1" w14:textId="77777777" w:rsidR="009505FB" w:rsidRPr="00C0711F" w:rsidRDefault="003771BC">
      <w:pPr>
        <w:pStyle w:val="Akapitzlist"/>
        <w:numPr>
          <w:ilvl w:val="1"/>
          <w:numId w:val="5"/>
        </w:numPr>
        <w:tabs>
          <w:tab w:val="left" w:pos="4070"/>
        </w:tabs>
        <w:ind w:left="4069" w:hanging="4070"/>
        <w:rPr>
          <w:sz w:val="18"/>
        </w:rPr>
      </w:pPr>
      <w:r w:rsidRPr="00C0711F">
        <w:rPr>
          <w:color w:val="231F20"/>
          <w:sz w:val="18"/>
          <w:lang w:val="en-GB"/>
        </w:rPr>
        <w:t>– the humanities.</w:t>
      </w:r>
    </w:p>
    <w:p w14:paraId="77BFC311" w14:textId="77777777" w:rsidR="00B37FE5" w:rsidRPr="00C0711F" w:rsidRDefault="003771BC">
      <w:pPr>
        <w:pStyle w:val="Tekstpodstawowy"/>
        <w:spacing w:before="0" w:line="480" w:lineRule="atLeast"/>
        <w:ind w:left="1050" w:right="1051"/>
        <w:jc w:val="center"/>
        <w:rPr>
          <w:color w:val="231F20"/>
          <w:sz w:val="18"/>
        </w:rPr>
      </w:pPr>
      <w:r w:rsidRPr="00C0711F">
        <w:rPr>
          <w:color w:val="231F20"/>
          <w:sz w:val="18"/>
          <w:lang w:val="en-GB"/>
        </w:rPr>
        <w:t>The programme is funded jointly by the Polish universities and scientific centres</w:t>
      </w:r>
    </w:p>
    <w:p w14:paraId="12AB4B2E" w14:textId="77777777" w:rsidR="009505FB" w:rsidRPr="00C0711F" w:rsidRDefault="003771BC">
      <w:pPr>
        <w:pStyle w:val="Tekstpodstawowy"/>
        <w:spacing w:before="0" w:line="480" w:lineRule="atLeast"/>
        <w:ind w:left="1050" w:right="1051"/>
        <w:jc w:val="center"/>
        <w:rPr>
          <w:sz w:val="18"/>
        </w:rPr>
      </w:pPr>
      <w:r w:rsidRPr="00C0711F">
        <w:rPr>
          <w:color w:val="231F20"/>
          <w:sz w:val="18"/>
          <w:lang w:val="en-GB"/>
        </w:rPr>
        <w:t>Applications containing the description of the contributions and achievements of candidates</w:t>
      </w:r>
    </w:p>
    <w:p w14:paraId="506FDBAF" w14:textId="77777777" w:rsidR="009505FB" w:rsidRPr="00C0711F" w:rsidRDefault="003771BC">
      <w:pPr>
        <w:pStyle w:val="Tekstpodstawowy"/>
        <w:ind w:left="86" w:right="86"/>
        <w:jc w:val="center"/>
        <w:rPr>
          <w:sz w:val="18"/>
        </w:rPr>
      </w:pPr>
      <w:r w:rsidRPr="00C0711F">
        <w:rPr>
          <w:color w:val="231F20"/>
          <w:sz w:val="18"/>
          <w:lang w:val="en-GB"/>
        </w:rPr>
        <w:t>are to be sent to the Centre for East European Studies by 31 March 2021</w:t>
      </w:r>
    </w:p>
    <w:p w14:paraId="6E4B9659" w14:textId="77777777" w:rsidR="009505FB" w:rsidRPr="00C0711F" w:rsidRDefault="003771BC">
      <w:pPr>
        <w:pStyle w:val="Tekstpodstawowy"/>
        <w:ind w:left="86" w:right="86"/>
        <w:jc w:val="center"/>
        <w:rPr>
          <w:sz w:val="18"/>
        </w:rPr>
      </w:pPr>
      <w:r w:rsidRPr="00C0711F">
        <w:rPr>
          <w:color w:val="231F20"/>
          <w:sz w:val="18"/>
          <w:lang w:val="en-GB"/>
        </w:rPr>
        <w:t xml:space="preserve">at </w:t>
      </w:r>
      <w:hyperlink r:id="rId8">
        <w:r w:rsidRPr="00C0711F">
          <w:rPr>
            <w:color w:val="231F20"/>
            <w:sz w:val="18"/>
            <w:u w:val="single"/>
            <w:lang w:val="en-GB"/>
          </w:rPr>
          <w:t>stypendia.studium@uw.edu.pl</w:t>
        </w:r>
      </w:hyperlink>
    </w:p>
    <w:p w14:paraId="64D3C300" w14:textId="77777777" w:rsidR="009505FB" w:rsidRPr="00C0711F" w:rsidRDefault="009505FB">
      <w:pPr>
        <w:jc w:val="center"/>
        <w:rPr>
          <w:sz w:val="20"/>
        </w:rPr>
        <w:sectPr w:rsidR="009505FB" w:rsidRPr="00C0711F">
          <w:footerReference w:type="default" r:id="rId9"/>
          <w:type w:val="continuous"/>
          <w:pgSz w:w="11910" w:h="16840"/>
          <w:pgMar w:top="540" w:right="1200" w:bottom="2700" w:left="1200" w:header="708" w:footer="2512" w:gutter="0"/>
          <w:cols w:space="708"/>
        </w:sectPr>
      </w:pPr>
    </w:p>
    <w:p w14:paraId="2AECBBC8" w14:textId="77777777" w:rsidR="009505FB" w:rsidRPr="00C0711F" w:rsidRDefault="003771BC">
      <w:pPr>
        <w:pStyle w:val="Akapitzlist"/>
        <w:numPr>
          <w:ilvl w:val="0"/>
          <w:numId w:val="4"/>
        </w:numPr>
        <w:tabs>
          <w:tab w:val="left" w:pos="503"/>
        </w:tabs>
        <w:spacing w:before="76"/>
        <w:rPr>
          <w:b/>
        </w:rPr>
      </w:pPr>
      <w:r w:rsidRPr="00C0711F">
        <w:rPr>
          <w:b/>
          <w:bCs/>
          <w:color w:val="231F20"/>
          <w:lang w:val="en-GB"/>
        </w:rPr>
        <w:lastRenderedPageBreak/>
        <w:t>DESCRIPTION</w:t>
      </w:r>
    </w:p>
    <w:p w14:paraId="56ECA6E5" w14:textId="77777777" w:rsidR="009505FB" w:rsidRPr="00C0711F" w:rsidRDefault="003771BC">
      <w:pPr>
        <w:pStyle w:val="Tekstpodstawowy"/>
        <w:spacing w:before="115" w:line="249" w:lineRule="auto"/>
        <w:ind w:left="231" w:right="215"/>
        <w:jc w:val="both"/>
        <w:rPr>
          <w:sz w:val="18"/>
        </w:rPr>
      </w:pPr>
      <w:r w:rsidRPr="00C0711F">
        <w:rPr>
          <w:color w:val="231F20"/>
          <w:sz w:val="18"/>
          <w:lang w:val="en-GB"/>
        </w:rPr>
        <w:t xml:space="preserve">The </w:t>
      </w:r>
      <w:r w:rsidRPr="00C0711F">
        <w:rPr>
          <w:b/>
          <w:bCs/>
          <w:color w:val="231F20"/>
          <w:sz w:val="18"/>
          <w:lang w:val="en-GB"/>
        </w:rPr>
        <w:t>Tytus Filipowicz Award</w:t>
      </w:r>
      <w:r w:rsidRPr="00C0711F">
        <w:rPr>
          <w:color w:val="231F20"/>
          <w:sz w:val="18"/>
          <w:lang w:val="en-GB"/>
        </w:rPr>
        <w:t xml:space="preserve"> aims to honour the contributions of citizens of Georgia and Caucasus to the development of science, culture and public life, to the shaping and development of the civic society and to the construction of the democratic state of Georgia and the Caucasian countries – directed towards Europe, taking into consideration the historical, present and future ties with Poland and Europe.</w:t>
      </w:r>
    </w:p>
    <w:p w14:paraId="4FCB84B8" w14:textId="77777777" w:rsidR="009505FB" w:rsidRPr="00C0711F" w:rsidRDefault="009505FB">
      <w:pPr>
        <w:pStyle w:val="Tekstpodstawowy"/>
        <w:spacing w:before="2"/>
      </w:pPr>
    </w:p>
    <w:p w14:paraId="4DAF6567" w14:textId="77777777" w:rsidR="009505FB" w:rsidRPr="00C0711F" w:rsidRDefault="003771BC">
      <w:pPr>
        <w:pStyle w:val="Tekstpodstawowy"/>
        <w:spacing w:before="0" w:line="249" w:lineRule="auto"/>
        <w:ind w:left="231" w:right="215"/>
        <w:jc w:val="both"/>
        <w:rPr>
          <w:sz w:val="18"/>
        </w:rPr>
      </w:pPr>
      <w:r w:rsidRPr="00C0711F">
        <w:rPr>
          <w:color w:val="231F20"/>
          <w:sz w:val="18"/>
          <w:lang w:val="en-GB"/>
        </w:rPr>
        <w:t>The award was introduced in 2018 by the Centre for East European Studies at the University of Warsaw (initiator) and the following higher education institutions: Gdańsk University of Technology, Poznan University of Technology, University of Lodz, Maria Curie-Skłodowska University, University of Rzeszów, University of Warsaw and the Ossoliński National Institute as well as the College of Eastern Europe in Wrocław.</w:t>
      </w:r>
    </w:p>
    <w:p w14:paraId="5CD20319" w14:textId="77777777" w:rsidR="009505FB" w:rsidRPr="00C0711F" w:rsidRDefault="009505FB">
      <w:pPr>
        <w:pStyle w:val="Tekstpodstawowy"/>
        <w:spacing w:before="2"/>
      </w:pPr>
    </w:p>
    <w:p w14:paraId="7FCDB862" w14:textId="77777777" w:rsidR="009505FB" w:rsidRPr="00C0711F" w:rsidRDefault="003771BC">
      <w:pPr>
        <w:spacing w:line="256" w:lineRule="auto"/>
        <w:ind w:left="231" w:right="215"/>
        <w:jc w:val="both"/>
        <w:rPr>
          <w:sz w:val="18"/>
        </w:rPr>
      </w:pPr>
      <w:r w:rsidRPr="00C0711F">
        <w:rPr>
          <w:color w:val="231F20"/>
          <w:sz w:val="18"/>
          <w:lang w:val="en-GB"/>
        </w:rPr>
        <w:t>The award was introduced in 2018 by the Centre for East European Studies at the University of Warsaw (initiator) and the following higher education institutions: Academy of Fine Arts in Kraków, Gdańsk University of Technology, Poznan University of Technology, University of Lodz, Maria Curie-Skłodowska University, University of Rzeszów, University of Warsaw and the Ossoliński National Institute as well as the College of Eastern Europe in Wrocław.</w:t>
      </w:r>
    </w:p>
    <w:p w14:paraId="122793CC" w14:textId="77777777" w:rsidR="009505FB" w:rsidRPr="00C0711F" w:rsidRDefault="009505FB">
      <w:pPr>
        <w:pStyle w:val="Tekstpodstawowy"/>
        <w:spacing w:before="6"/>
        <w:rPr>
          <w:sz w:val="18"/>
        </w:rPr>
      </w:pPr>
    </w:p>
    <w:p w14:paraId="135DA6E5" w14:textId="77777777" w:rsidR="009505FB" w:rsidRPr="00C0711F" w:rsidRDefault="003771BC">
      <w:pPr>
        <w:pStyle w:val="Nagwek2"/>
        <w:ind w:left="231"/>
        <w:jc w:val="both"/>
        <w:rPr>
          <w:sz w:val="18"/>
        </w:rPr>
      </w:pPr>
      <w:r w:rsidRPr="00C0711F">
        <w:rPr>
          <w:color w:val="231F20"/>
          <w:sz w:val="18"/>
          <w:lang w:val="en-GB"/>
        </w:rPr>
        <w:t>Laureate of the Award</w:t>
      </w:r>
    </w:p>
    <w:p w14:paraId="0AD851FF" w14:textId="77777777" w:rsidR="009505FB" w:rsidRPr="00C0711F" w:rsidRDefault="003771BC">
      <w:pPr>
        <w:pStyle w:val="Tekstpodstawowy"/>
        <w:spacing w:line="249" w:lineRule="auto"/>
        <w:ind w:left="231" w:right="215"/>
        <w:jc w:val="both"/>
        <w:rPr>
          <w:sz w:val="18"/>
        </w:rPr>
      </w:pPr>
      <w:r w:rsidRPr="00C0711F">
        <w:rPr>
          <w:color w:val="231F20"/>
          <w:sz w:val="18"/>
          <w:lang w:val="en-GB"/>
        </w:rPr>
        <w:t>a candidate from the field of widely understood humanities receives the opportunity of a year-long scientific stay in 5 consecutively visited Polish universities where her or she can deliver lectures related to the history or present of the Caucasus and the Polish and Caucasian relations as well as take on his or her own archiving work.</w:t>
      </w:r>
    </w:p>
    <w:p w14:paraId="27CE5CF5" w14:textId="77777777" w:rsidR="009505FB" w:rsidRPr="00C0711F" w:rsidRDefault="009505FB">
      <w:pPr>
        <w:pStyle w:val="Tekstpodstawowy"/>
        <w:spacing w:before="2"/>
      </w:pPr>
    </w:p>
    <w:p w14:paraId="32D0FB1F" w14:textId="77777777" w:rsidR="009505FB" w:rsidRPr="00C0711F" w:rsidRDefault="003771BC">
      <w:pPr>
        <w:pStyle w:val="Nagwek2"/>
        <w:ind w:left="231"/>
        <w:jc w:val="left"/>
        <w:rPr>
          <w:sz w:val="18"/>
        </w:rPr>
      </w:pPr>
      <w:r w:rsidRPr="00C0711F">
        <w:rPr>
          <w:color w:val="231F20"/>
          <w:sz w:val="18"/>
          <w:lang w:val="en-GB"/>
        </w:rPr>
        <w:t>Traineeship</w:t>
      </w:r>
    </w:p>
    <w:p w14:paraId="163E9F1E" w14:textId="77777777" w:rsidR="009505FB" w:rsidRPr="00C0711F" w:rsidRDefault="003771BC">
      <w:pPr>
        <w:pStyle w:val="Tekstpodstawowy"/>
        <w:spacing w:line="249" w:lineRule="auto"/>
        <w:ind w:left="231"/>
        <w:rPr>
          <w:sz w:val="18"/>
        </w:rPr>
      </w:pPr>
      <w:r w:rsidRPr="00C0711F">
        <w:rPr>
          <w:color w:val="231F20"/>
          <w:sz w:val="18"/>
          <w:lang w:val="en-GB"/>
        </w:rPr>
        <w:t>related to the Award allows researchers from the fields specified on page 1 to take part in a 2-month research stay in a Polish higher education institution.</w:t>
      </w:r>
    </w:p>
    <w:p w14:paraId="7B6B06FB" w14:textId="77777777" w:rsidR="009505FB" w:rsidRPr="00C0711F" w:rsidRDefault="009505FB">
      <w:pPr>
        <w:pStyle w:val="Tekstpodstawowy"/>
      </w:pPr>
    </w:p>
    <w:p w14:paraId="53F7B728" w14:textId="77777777" w:rsidR="009505FB" w:rsidRPr="00C0711F" w:rsidRDefault="003771BC">
      <w:pPr>
        <w:pStyle w:val="Nagwek1"/>
        <w:numPr>
          <w:ilvl w:val="0"/>
          <w:numId w:val="4"/>
        </w:numPr>
        <w:tabs>
          <w:tab w:val="left" w:pos="499"/>
        </w:tabs>
        <w:spacing w:before="1"/>
        <w:ind w:left="498" w:hanging="268"/>
        <w:rPr>
          <w:sz w:val="22"/>
        </w:rPr>
      </w:pPr>
      <w:r w:rsidRPr="00C0711F">
        <w:rPr>
          <w:color w:val="231F20"/>
          <w:sz w:val="22"/>
          <w:lang w:val="en-GB"/>
        </w:rPr>
        <w:t>CANDIDATE QUALIFICATION</w:t>
      </w:r>
    </w:p>
    <w:p w14:paraId="613A49A1" w14:textId="77777777" w:rsidR="009505FB" w:rsidRPr="00C0711F" w:rsidRDefault="003771BC">
      <w:pPr>
        <w:pStyle w:val="Akapitzlist"/>
        <w:numPr>
          <w:ilvl w:val="0"/>
          <w:numId w:val="3"/>
        </w:numPr>
        <w:tabs>
          <w:tab w:val="left" w:pos="465"/>
        </w:tabs>
        <w:spacing w:before="114"/>
        <w:rPr>
          <w:sz w:val="18"/>
        </w:rPr>
      </w:pPr>
      <w:r w:rsidRPr="00C0711F">
        <w:rPr>
          <w:color w:val="231F20"/>
          <w:sz w:val="18"/>
          <w:lang w:val="en-GB"/>
        </w:rPr>
        <w:t>The intake of candidates for the Award starts on 31 December 2020.</w:t>
      </w:r>
    </w:p>
    <w:p w14:paraId="14278600" w14:textId="77777777" w:rsidR="009505FB" w:rsidRPr="00C0711F" w:rsidRDefault="003771BC">
      <w:pPr>
        <w:pStyle w:val="Akapitzlist"/>
        <w:numPr>
          <w:ilvl w:val="0"/>
          <w:numId w:val="3"/>
        </w:numPr>
        <w:tabs>
          <w:tab w:val="left" w:pos="465"/>
        </w:tabs>
        <w:rPr>
          <w:sz w:val="18"/>
        </w:rPr>
      </w:pPr>
      <w:r w:rsidRPr="00C0711F">
        <w:rPr>
          <w:color w:val="231F20"/>
          <w:sz w:val="18"/>
          <w:lang w:val="en-GB"/>
        </w:rPr>
        <w:t>Candidates can be registered by 31 March 2021.</w:t>
      </w:r>
    </w:p>
    <w:p w14:paraId="4B4C5FAD" w14:textId="77777777" w:rsidR="009505FB" w:rsidRPr="00C0711F" w:rsidRDefault="003771BC">
      <w:pPr>
        <w:pStyle w:val="Akapitzlist"/>
        <w:numPr>
          <w:ilvl w:val="0"/>
          <w:numId w:val="3"/>
        </w:numPr>
        <w:tabs>
          <w:tab w:val="left" w:pos="454"/>
        </w:tabs>
        <w:ind w:left="453" w:hanging="223"/>
        <w:rPr>
          <w:sz w:val="18"/>
        </w:rPr>
      </w:pPr>
      <w:r w:rsidRPr="00C0711F">
        <w:rPr>
          <w:color w:val="231F20"/>
          <w:sz w:val="18"/>
          <w:lang w:val="en-GB"/>
        </w:rPr>
        <w:t>At a special meeting, the Committee will make a decision on whom the Award will be granted.</w:t>
      </w:r>
    </w:p>
    <w:p w14:paraId="4BFF5A18" w14:textId="77777777" w:rsidR="009505FB" w:rsidRPr="00C0711F" w:rsidRDefault="003771BC">
      <w:pPr>
        <w:pStyle w:val="Akapitzlist"/>
        <w:numPr>
          <w:ilvl w:val="0"/>
          <w:numId w:val="3"/>
        </w:numPr>
        <w:tabs>
          <w:tab w:val="left" w:pos="465"/>
        </w:tabs>
        <w:spacing w:before="11"/>
        <w:rPr>
          <w:sz w:val="18"/>
        </w:rPr>
      </w:pPr>
      <w:r w:rsidRPr="00C0711F">
        <w:rPr>
          <w:color w:val="231F20"/>
          <w:sz w:val="18"/>
          <w:lang w:val="en-GB"/>
        </w:rPr>
        <w:t>The programme starts in October of the year when the Award is granted.</w:t>
      </w:r>
    </w:p>
    <w:p w14:paraId="1E303A4A" w14:textId="77777777" w:rsidR="009505FB" w:rsidRPr="00C0711F" w:rsidRDefault="009505FB">
      <w:pPr>
        <w:pStyle w:val="Tekstpodstawowy"/>
        <w:spacing w:before="7"/>
      </w:pPr>
    </w:p>
    <w:p w14:paraId="3B38EE1E" w14:textId="77777777" w:rsidR="009505FB" w:rsidRPr="00C0711F" w:rsidRDefault="003771BC">
      <w:pPr>
        <w:pStyle w:val="Nagwek1"/>
        <w:numPr>
          <w:ilvl w:val="0"/>
          <w:numId w:val="4"/>
        </w:numPr>
        <w:tabs>
          <w:tab w:val="left" w:pos="499"/>
        </w:tabs>
        <w:ind w:left="498" w:hanging="268"/>
        <w:rPr>
          <w:sz w:val="22"/>
        </w:rPr>
      </w:pPr>
      <w:r w:rsidRPr="00C0711F">
        <w:rPr>
          <w:color w:val="231F20"/>
          <w:sz w:val="22"/>
          <w:lang w:val="en-GB"/>
        </w:rPr>
        <w:t>OBLIGATIONS OF THE HIGHER EDUCATION INSTITUTION</w:t>
      </w:r>
    </w:p>
    <w:p w14:paraId="1213C872" w14:textId="77777777" w:rsidR="009505FB" w:rsidRPr="00C0711F" w:rsidRDefault="003771BC">
      <w:pPr>
        <w:pStyle w:val="Akapitzlist"/>
        <w:numPr>
          <w:ilvl w:val="0"/>
          <w:numId w:val="2"/>
        </w:numPr>
        <w:tabs>
          <w:tab w:val="left" w:pos="465"/>
        </w:tabs>
        <w:spacing w:before="115" w:line="249" w:lineRule="auto"/>
        <w:ind w:right="215"/>
        <w:jc w:val="both"/>
        <w:rPr>
          <w:sz w:val="18"/>
        </w:rPr>
      </w:pPr>
      <w:r w:rsidRPr="00C0711F">
        <w:rPr>
          <w:color w:val="231F20"/>
          <w:sz w:val="18"/>
          <w:lang w:val="en-GB"/>
        </w:rPr>
        <w:t>scholarship – PLN 3500 net per month (if the laureate or a trainee holds the scientific title of habilitated doctor or professor); – PLN 2500 net per month (if the laureate or a trainee holds the scientific title of master or doctor),</w:t>
      </w:r>
    </w:p>
    <w:p w14:paraId="1BFD8533" w14:textId="77777777" w:rsidR="009505FB" w:rsidRPr="00C0711F" w:rsidRDefault="003771BC">
      <w:pPr>
        <w:pStyle w:val="Akapitzlist"/>
        <w:numPr>
          <w:ilvl w:val="0"/>
          <w:numId w:val="2"/>
        </w:numPr>
        <w:tabs>
          <w:tab w:val="left" w:pos="465"/>
        </w:tabs>
        <w:spacing w:before="2"/>
        <w:rPr>
          <w:sz w:val="18"/>
        </w:rPr>
      </w:pPr>
      <w:r w:rsidRPr="00C0711F">
        <w:rPr>
          <w:color w:val="231F20"/>
          <w:sz w:val="18"/>
          <w:lang w:val="en-GB"/>
        </w:rPr>
        <w:t>very good housing conditions throughout the stay in the given higher education institution,</w:t>
      </w:r>
    </w:p>
    <w:p w14:paraId="67EBA973" w14:textId="77777777" w:rsidR="009505FB" w:rsidRPr="00C0711F" w:rsidRDefault="003771BC">
      <w:pPr>
        <w:pStyle w:val="Akapitzlist"/>
        <w:numPr>
          <w:ilvl w:val="0"/>
          <w:numId w:val="2"/>
        </w:numPr>
        <w:tabs>
          <w:tab w:val="left" w:pos="454"/>
        </w:tabs>
        <w:ind w:left="453" w:hanging="223"/>
        <w:rPr>
          <w:sz w:val="18"/>
        </w:rPr>
      </w:pPr>
      <w:r w:rsidRPr="00C0711F">
        <w:rPr>
          <w:color w:val="231F20"/>
          <w:sz w:val="18"/>
          <w:lang w:val="en-GB"/>
        </w:rPr>
        <w:t>ensured scientific supervision/assistance of a tutor dealing with the field of the Laureate at each of the higher education institutions,</w:t>
      </w:r>
    </w:p>
    <w:p w14:paraId="56D09C42" w14:textId="77777777" w:rsidR="009505FB" w:rsidRPr="00C0711F" w:rsidRDefault="003771BC">
      <w:pPr>
        <w:pStyle w:val="Akapitzlist"/>
        <w:numPr>
          <w:ilvl w:val="0"/>
          <w:numId w:val="2"/>
        </w:numPr>
        <w:tabs>
          <w:tab w:val="left" w:pos="465"/>
        </w:tabs>
        <w:rPr>
          <w:sz w:val="18"/>
        </w:rPr>
      </w:pPr>
      <w:r w:rsidRPr="00C0711F">
        <w:rPr>
          <w:color w:val="231F20"/>
          <w:sz w:val="18"/>
          <w:lang w:val="en-GB"/>
        </w:rPr>
        <w:t>books from the publishing house of the host universities, dealing with the field of the Laureate,</w:t>
      </w:r>
    </w:p>
    <w:p w14:paraId="1C077701" w14:textId="77777777" w:rsidR="009505FB" w:rsidRPr="00C0711F" w:rsidRDefault="003771BC">
      <w:pPr>
        <w:pStyle w:val="Akapitzlist"/>
        <w:numPr>
          <w:ilvl w:val="0"/>
          <w:numId w:val="2"/>
        </w:numPr>
        <w:tabs>
          <w:tab w:val="left" w:pos="521"/>
        </w:tabs>
        <w:ind w:left="520" w:hanging="290"/>
        <w:rPr>
          <w:sz w:val="18"/>
        </w:rPr>
      </w:pPr>
      <w:r w:rsidRPr="00C0711F">
        <w:rPr>
          <w:color w:val="231F20"/>
          <w:sz w:val="18"/>
          <w:lang w:val="en-GB"/>
        </w:rPr>
        <w:t>Polish language course if needed.</w:t>
      </w:r>
    </w:p>
    <w:p w14:paraId="656D31D6" w14:textId="77777777" w:rsidR="009505FB" w:rsidRPr="00C0711F" w:rsidRDefault="009505FB">
      <w:pPr>
        <w:pStyle w:val="Tekstpodstawowy"/>
        <w:spacing w:before="8"/>
      </w:pPr>
    </w:p>
    <w:p w14:paraId="291DBBBB" w14:textId="77777777" w:rsidR="009505FB" w:rsidRPr="00C0711F" w:rsidRDefault="003771BC">
      <w:pPr>
        <w:pStyle w:val="Nagwek1"/>
        <w:numPr>
          <w:ilvl w:val="0"/>
          <w:numId w:val="4"/>
        </w:numPr>
        <w:tabs>
          <w:tab w:val="left" w:pos="499"/>
        </w:tabs>
        <w:ind w:left="498" w:hanging="268"/>
        <w:rPr>
          <w:sz w:val="22"/>
        </w:rPr>
      </w:pPr>
      <w:r w:rsidRPr="00C0711F">
        <w:rPr>
          <w:color w:val="231F20"/>
          <w:sz w:val="22"/>
          <w:lang w:val="en-GB"/>
        </w:rPr>
        <w:t>OBLIGATIONS OF THE LAUREATE/TRAINEE</w:t>
      </w:r>
    </w:p>
    <w:p w14:paraId="74B7B85E" w14:textId="77777777" w:rsidR="009505FB" w:rsidRPr="00C0711F" w:rsidRDefault="003771BC">
      <w:pPr>
        <w:pStyle w:val="Akapitzlist"/>
        <w:numPr>
          <w:ilvl w:val="0"/>
          <w:numId w:val="1"/>
        </w:numPr>
        <w:tabs>
          <w:tab w:val="left" w:pos="465"/>
        </w:tabs>
        <w:spacing w:before="115"/>
        <w:rPr>
          <w:sz w:val="18"/>
        </w:rPr>
      </w:pPr>
      <w:r w:rsidRPr="00C0711F">
        <w:rPr>
          <w:color w:val="231F20"/>
          <w:sz w:val="18"/>
          <w:lang w:val="en-GB"/>
        </w:rPr>
        <w:t>2 months of stay in each of the universities,</w:t>
      </w:r>
    </w:p>
    <w:p w14:paraId="4728DA45" w14:textId="77777777" w:rsidR="009505FB" w:rsidRPr="00C0711F" w:rsidRDefault="003771BC">
      <w:pPr>
        <w:pStyle w:val="Akapitzlist"/>
        <w:numPr>
          <w:ilvl w:val="0"/>
          <w:numId w:val="1"/>
        </w:numPr>
        <w:tabs>
          <w:tab w:val="left" w:pos="465"/>
        </w:tabs>
        <w:spacing w:line="249" w:lineRule="auto"/>
        <w:ind w:right="215"/>
        <w:rPr>
          <w:sz w:val="18"/>
        </w:rPr>
      </w:pPr>
      <w:r w:rsidRPr="00C0711F">
        <w:rPr>
          <w:color w:val="231F20"/>
          <w:sz w:val="18"/>
          <w:lang w:val="en-GB"/>
        </w:rPr>
        <w:t>delivery of one public lecture and possibly six course-related lectures in the institute of affiliation (as decided by the higher education institution),</w:t>
      </w:r>
    </w:p>
    <w:p w14:paraId="054A671B" w14:textId="77777777" w:rsidR="009505FB" w:rsidRPr="00C0711F" w:rsidRDefault="003771BC">
      <w:pPr>
        <w:pStyle w:val="Akapitzlist"/>
        <w:numPr>
          <w:ilvl w:val="0"/>
          <w:numId w:val="1"/>
        </w:numPr>
        <w:tabs>
          <w:tab w:val="left" w:pos="454"/>
        </w:tabs>
        <w:spacing w:before="2"/>
        <w:ind w:left="453" w:hanging="223"/>
        <w:rPr>
          <w:sz w:val="18"/>
        </w:rPr>
      </w:pPr>
      <w:r w:rsidRPr="00C0711F">
        <w:rPr>
          <w:color w:val="231F20"/>
          <w:sz w:val="18"/>
          <w:lang w:val="en-GB"/>
        </w:rPr>
        <w:t>report on the stay,</w:t>
      </w:r>
    </w:p>
    <w:p w14:paraId="126228B7" w14:textId="77777777" w:rsidR="009505FB" w:rsidRPr="00C0711F" w:rsidRDefault="003771BC">
      <w:pPr>
        <w:pStyle w:val="Akapitzlist"/>
        <w:numPr>
          <w:ilvl w:val="0"/>
          <w:numId w:val="1"/>
        </w:numPr>
        <w:tabs>
          <w:tab w:val="left" w:pos="465"/>
        </w:tabs>
        <w:spacing w:line="249" w:lineRule="auto"/>
        <w:ind w:right="217"/>
        <w:rPr>
          <w:sz w:val="18"/>
        </w:rPr>
      </w:pPr>
      <w:r w:rsidRPr="00C0711F">
        <w:rPr>
          <w:color w:val="231F20"/>
          <w:sz w:val="18"/>
          <w:lang w:val="en-GB"/>
        </w:rPr>
        <w:t>if the stay of the Laureate/Trainee bears fruit in the form of publications – the Laureate/Trainee will be obliged to include information on the Award in them.</w:t>
      </w:r>
    </w:p>
    <w:sectPr w:rsidR="009505FB" w:rsidRPr="00C0711F" w:rsidSect="00E938D5">
      <w:pgSz w:w="11910" w:h="16840"/>
      <w:pgMar w:top="1400" w:right="1200" w:bottom="2700" w:left="1200" w:header="0" w:footer="251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3E7F5D" w14:textId="77777777" w:rsidR="00037471" w:rsidRDefault="00037471">
      <w:r>
        <w:separator/>
      </w:r>
    </w:p>
  </w:endnote>
  <w:endnote w:type="continuationSeparator" w:id="0">
    <w:p w14:paraId="21D8A6D6" w14:textId="77777777" w:rsidR="00037471" w:rsidRDefault="00037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EDF3E" w14:textId="77777777" w:rsidR="009505FB" w:rsidRDefault="00037471">
    <w:pPr>
      <w:pStyle w:val="Tekstpodstawowy"/>
      <w:spacing w:before="0" w:line="14" w:lineRule="auto"/>
    </w:pPr>
    <w:r>
      <w:rPr>
        <w:noProof/>
        <w:lang w:val="pl-PL" w:eastAsia="pl-PL" w:bidi="ar-SA"/>
      </w:rPr>
      <w:pict w14:anchorId="3918B41D">
        <v:shapetype id="_x0000_t202" coordsize="21600,21600" o:spt="202" path="m,l,21600r21600,l21600,xe">
          <v:stroke joinstyle="miter"/>
          <v:path gradientshapeok="t" o:connecttype="rect"/>
        </v:shapetype>
        <v:shape id="_x0000_s2099" type="#_x0000_t202" style="position:absolute;margin-left:-28.4pt;margin-top:25.8pt;width:235.5pt;height:20.6pt;z-index:251659264;mso-height-percent:200;mso-height-percent:200;mso-width-relative:margin;mso-height-relative:margin">
          <v:textbox style="mso-next-textbox:#_x0000_s2099;mso-fit-shape-to-text:t">
            <w:txbxContent>
              <w:p w14:paraId="1E70705D" w14:textId="77777777" w:rsidR="00CB4BBC" w:rsidRDefault="00CB4BBC" w:rsidP="00CB4BBC">
                <w:pPr>
                  <w:jc w:val="center"/>
                  <w:rPr>
                    <w:lang w:val="pl-PL"/>
                  </w:rPr>
                </w:pPr>
                <w:r>
                  <w:rPr>
                    <w:lang w:val="pl-PL"/>
                  </w:rPr>
                  <w:t>CENTRE FOR EAST EUROPEAN STUDIES</w:t>
                </w:r>
              </w:p>
            </w:txbxContent>
          </v:textbox>
        </v:shape>
      </w:pict>
    </w:r>
    <w:r>
      <w:rPr>
        <w:noProof/>
        <w:lang w:val="pl-PL" w:eastAsia="pl-PL" w:bidi="ar-SA"/>
      </w:rPr>
      <w:pict w14:anchorId="03C27F00">
        <v:shape id="_x0000_s2100" type="#_x0000_t202" style="position:absolute;margin-left:270.6pt;margin-top:26.15pt;width:235.5pt;height:20.6pt;z-index:251660288;mso-height-percent:200;mso-height-percent:200;mso-width-relative:margin;mso-height-relative:margin">
          <v:textbox style="mso-next-textbox:#_x0000_s2100;mso-fit-shape-to-text:t">
            <w:txbxContent>
              <w:p w14:paraId="64AB37F2" w14:textId="77777777" w:rsidR="00CB4BBC" w:rsidRDefault="00CB4BBC" w:rsidP="00CB4BBC">
                <w:pPr>
                  <w:jc w:val="center"/>
                  <w:rPr>
                    <w:lang w:val="pl-PL"/>
                  </w:rPr>
                </w:pPr>
                <w:r>
                  <w:rPr>
                    <w:lang w:val="pl-PL"/>
                  </w:rPr>
                  <w:t>UNIVERSITY OF WARSAW</w:t>
                </w:r>
              </w:p>
            </w:txbxContent>
          </v:textbox>
        </v:shape>
      </w:pict>
    </w:r>
    <w:r>
      <w:rPr>
        <w:noProof/>
        <w:lang w:val="en-GB"/>
      </w:rPr>
      <w:pict w14:anchorId="578EDAE5">
        <v:group id="_x0000_s2092" style="position:absolute;margin-left:34.75pt;margin-top:4.45pt;width:519.8pt;height:72.9pt;z-index:-251658240;mso-wrap-distance-left:0;mso-wrap-distance-right:0;mso-position-horizontal-relative:page" coordorigin="740,159" coordsize="10396,1458">
          <v:line id="_x0000_s2093" style="position:absolute" from="741,1592" to="11131,1592" strokecolor="#c8161d" strokeweight=".87197mm"/>
          <v:line id="_x0000_s2094" style="position:absolute" from="740,682" to="5387,682" strokecolor="#c8161d" strokeweight=".87214mm"/>
          <v:line id="_x0000_s2095" style="position:absolute" from="740,593" to="5387,593" strokecolor="#c8161d" strokeweight=".40692mm"/>
          <v:line id="_x0000_s2096" style="position:absolute" from="11130,682" to="6775,682" strokecolor="#c8161d" strokeweight=".87214mm"/>
          <v:line id="_x0000_s2097" style="position:absolute" from="11130,593" to="6775,593" strokecolor="#c8161d" strokeweight=".40692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8" type="#_x0000_t75" style="position:absolute;left:742;top:158;width:10392;height:1400">
            <v:imagedata r:id="rId1" o:title=""/>
          </v:shape>
          <w10:wrap type="topAndBottom" anchorx="page"/>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0DC0EB" w14:textId="77777777" w:rsidR="00037471" w:rsidRDefault="00037471">
      <w:r>
        <w:separator/>
      </w:r>
    </w:p>
  </w:footnote>
  <w:footnote w:type="continuationSeparator" w:id="0">
    <w:p w14:paraId="3B42E0D3" w14:textId="77777777" w:rsidR="00037471" w:rsidRDefault="000374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D20A0"/>
    <w:multiLevelType w:val="hybridMultilevel"/>
    <w:tmpl w:val="9C7816B8"/>
    <w:lvl w:ilvl="0" w:tplc="F992E6FA">
      <w:start w:val="1"/>
      <w:numFmt w:val="lowerLetter"/>
      <w:lvlText w:val="%1)"/>
      <w:lvlJc w:val="left"/>
      <w:pPr>
        <w:ind w:left="464" w:hanging="234"/>
        <w:jc w:val="left"/>
      </w:pPr>
      <w:rPr>
        <w:rFonts w:ascii="Arial" w:eastAsia="Arial" w:hAnsi="Arial" w:cs="Arial" w:hint="default"/>
        <w:color w:val="231F20"/>
        <w:spacing w:val="-1"/>
        <w:w w:val="100"/>
        <w:sz w:val="20"/>
        <w:szCs w:val="20"/>
        <w:lang w:val="en-US" w:eastAsia="en-US" w:bidi="he-IL"/>
      </w:rPr>
    </w:lvl>
    <w:lvl w:ilvl="1" w:tplc="AD96F3EC">
      <w:numFmt w:val="bullet"/>
      <w:lvlText w:val="•"/>
      <w:lvlJc w:val="left"/>
      <w:pPr>
        <w:ind w:left="1364" w:hanging="234"/>
      </w:pPr>
      <w:rPr>
        <w:rFonts w:hint="default"/>
        <w:lang w:val="en-US" w:eastAsia="en-US" w:bidi="he-IL"/>
      </w:rPr>
    </w:lvl>
    <w:lvl w:ilvl="2" w:tplc="63FE9BD2">
      <w:numFmt w:val="bullet"/>
      <w:lvlText w:val="•"/>
      <w:lvlJc w:val="left"/>
      <w:pPr>
        <w:ind w:left="2269" w:hanging="234"/>
      </w:pPr>
      <w:rPr>
        <w:rFonts w:hint="default"/>
        <w:lang w:val="en-US" w:eastAsia="en-US" w:bidi="he-IL"/>
      </w:rPr>
    </w:lvl>
    <w:lvl w:ilvl="3" w:tplc="4D2C27CE">
      <w:numFmt w:val="bullet"/>
      <w:lvlText w:val="•"/>
      <w:lvlJc w:val="left"/>
      <w:pPr>
        <w:ind w:left="3173" w:hanging="234"/>
      </w:pPr>
      <w:rPr>
        <w:rFonts w:hint="default"/>
        <w:lang w:val="en-US" w:eastAsia="en-US" w:bidi="he-IL"/>
      </w:rPr>
    </w:lvl>
    <w:lvl w:ilvl="4" w:tplc="4F1EC400">
      <w:numFmt w:val="bullet"/>
      <w:lvlText w:val="•"/>
      <w:lvlJc w:val="left"/>
      <w:pPr>
        <w:ind w:left="4078" w:hanging="234"/>
      </w:pPr>
      <w:rPr>
        <w:rFonts w:hint="default"/>
        <w:lang w:val="en-US" w:eastAsia="en-US" w:bidi="he-IL"/>
      </w:rPr>
    </w:lvl>
    <w:lvl w:ilvl="5" w:tplc="CE8A2FCE">
      <w:numFmt w:val="bullet"/>
      <w:lvlText w:val="•"/>
      <w:lvlJc w:val="left"/>
      <w:pPr>
        <w:ind w:left="4982" w:hanging="234"/>
      </w:pPr>
      <w:rPr>
        <w:rFonts w:hint="default"/>
        <w:lang w:val="en-US" w:eastAsia="en-US" w:bidi="he-IL"/>
      </w:rPr>
    </w:lvl>
    <w:lvl w:ilvl="6" w:tplc="5D6C8706">
      <w:numFmt w:val="bullet"/>
      <w:lvlText w:val="•"/>
      <w:lvlJc w:val="left"/>
      <w:pPr>
        <w:ind w:left="5887" w:hanging="234"/>
      </w:pPr>
      <w:rPr>
        <w:rFonts w:hint="default"/>
        <w:lang w:val="en-US" w:eastAsia="en-US" w:bidi="he-IL"/>
      </w:rPr>
    </w:lvl>
    <w:lvl w:ilvl="7" w:tplc="8D38126A">
      <w:numFmt w:val="bullet"/>
      <w:lvlText w:val="•"/>
      <w:lvlJc w:val="left"/>
      <w:pPr>
        <w:ind w:left="6791" w:hanging="234"/>
      </w:pPr>
      <w:rPr>
        <w:rFonts w:hint="default"/>
        <w:lang w:val="en-US" w:eastAsia="en-US" w:bidi="he-IL"/>
      </w:rPr>
    </w:lvl>
    <w:lvl w:ilvl="8" w:tplc="F1F6F170">
      <w:numFmt w:val="bullet"/>
      <w:lvlText w:val="•"/>
      <w:lvlJc w:val="left"/>
      <w:pPr>
        <w:ind w:left="7696" w:hanging="234"/>
      </w:pPr>
      <w:rPr>
        <w:rFonts w:hint="default"/>
        <w:lang w:val="en-US" w:eastAsia="en-US" w:bidi="he-IL"/>
      </w:rPr>
    </w:lvl>
  </w:abstractNum>
  <w:abstractNum w:abstractNumId="1" w15:restartNumberingAfterBreak="0">
    <w:nsid w:val="0AEE6D46"/>
    <w:multiLevelType w:val="hybridMultilevel"/>
    <w:tmpl w:val="E97852E4"/>
    <w:lvl w:ilvl="0" w:tplc="4664BB1C">
      <w:start w:val="2"/>
      <w:numFmt w:val="decimal"/>
      <w:lvlText w:val="%1-"/>
      <w:lvlJc w:val="left"/>
      <w:pPr>
        <w:ind w:left="1062" w:hanging="179"/>
        <w:jc w:val="left"/>
      </w:pPr>
      <w:rPr>
        <w:rFonts w:ascii="Arial" w:eastAsia="Arial" w:hAnsi="Arial" w:cs="Arial" w:hint="default"/>
        <w:color w:val="231F20"/>
        <w:spacing w:val="-1"/>
        <w:w w:val="100"/>
        <w:sz w:val="18"/>
        <w:szCs w:val="18"/>
        <w:lang w:val="en-US" w:eastAsia="en-US" w:bidi="he-IL"/>
      </w:rPr>
    </w:lvl>
    <w:lvl w:ilvl="1" w:tplc="AEA8E5B2">
      <w:numFmt w:val="bullet"/>
      <w:lvlText w:val="–"/>
      <w:lvlJc w:val="left"/>
      <w:pPr>
        <w:ind w:left="4119" w:hanging="167"/>
      </w:pPr>
      <w:rPr>
        <w:rFonts w:ascii="Arial" w:eastAsia="Arial" w:hAnsi="Arial" w:cs="Arial" w:hint="default"/>
        <w:color w:val="231F20"/>
        <w:w w:val="100"/>
        <w:sz w:val="20"/>
        <w:szCs w:val="20"/>
        <w:lang w:val="en-US" w:eastAsia="en-US" w:bidi="he-IL"/>
      </w:rPr>
    </w:lvl>
    <w:lvl w:ilvl="2" w:tplc="7DDA8B4A">
      <w:numFmt w:val="bullet"/>
      <w:lvlText w:val="•"/>
      <w:lvlJc w:val="left"/>
      <w:pPr>
        <w:ind w:left="4240" w:hanging="167"/>
      </w:pPr>
      <w:rPr>
        <w:rFonts w:hint="default"/>
        <w:lang w:val="en-US" w:eastAsia="en-US" w:bidi="he-IL"/>
      </w:rPr>
    </w:lvl>
    <w:lvl w:ilvl="3" w:tplc="345E66B0">
      <w:numFmt w:val="bullet"/>
      <w:lvlText w:val="•"/>
      <w:lvlJc w:val="left"/>
      <w:pPr>
        <w:ind w:left="4260" w:hanging="167"/>
      </w:pPr>
      <w:rPr>
        <w:rFonts w:hint="default"/>
        <w:lang w:val="en-US" w:eastAsia="en-US" w:bidi="he-IL"/>
      </w:rPr>
    </w:lvl>
    <w:lvl w:ilvl="4" w:tplc="EFF679B8">
      <w:numFmt w:val="bullet"/>
      <w:lvlText w:val="•"/>
      <w:lvlJc w:val="left"/>
      <w:pPr>
        <w:ind w:left="4460" w:hanging="167"/>
      </w:pPr>
      <w:rPr>
        <w:rFonts w:hint="default"/>
        <w:lang w:val="en-US" w:eastAsia="en-US" w:bidi="he-IL"/>
      </w:rPr>
    </w:lvl>
    <w:lvl w:ilvl="5" w:tplc="2D66286A">
      <w:numFmt w:val="bullet"/>
      <w:lvlText w:val="•"/>
      <w:lvlJc w:val="left"/>
      <w:pPr>
        <w:ind w:left="5300" w:hanging="167"/>
      </w:pPr>
      <w:rPr>
        <w:rFonts w:hint="default"/>
        <w:lang w:val="en-US" w:eastAsia="en-US" w:bidi="he-IL"/>
      </w:rPr>
    </w:lvl>
    <w:lvl w:ilvl="6" w:tplc="DAC44FD4">
      <w:numFmt w:val="bullet"/>
      <w:lvlText w:val="•"/>
      <w:lvlJc w:val="left"/>
      <w:pPr>
        <w:ind w:left="6141" w:hanging="167"/>
      </w:pPr>
      <w:rPr>
        <w:rFonts w:hint="default"/>
        <w:lang w:val="en-US" w:eastAsia="en-US" w:bidi="he-IL"/>
      </w:rPr>
    </w:lvl>
    <w:lvl w:ilvl="7" w:tplc="F97CB514">
      <w:numFmt w:val="bullet"/>
      <w:lvlText w:val="•"/>
      <w:lvlJc w:val="left"/>
      <w:pPr>
        <w:ind w:left="6982" w:hanging="167"/>
      </w:pPr>
      <w:rPr>
        <w:rFonts w:hint="default"/>
        <w:lang w:val="en-US" w:eastAsia="en-US" w:bidi="he-IL"/>
      </w:rPr>
    </w:lvl>
    <w:lvl w:ilvl="8" w:tplc="342CCEF0">
      <w:numFmt w:val="bullet"/>
      <w:lvlText w:val="•"/>
      <w:lvlJc w:val="left"/>
      <w:pPr>
        <w:ind w:left="7823" w:hanging="167"/>
      </w:pPr>
      <w:rPr>
        <w:rFonts w:hint="default"/>
        <w:lang w:val="en-US" w:eastAsia="en-US" w:bidi="he-IL"/>
      </w:rPr>
    </w:lvl>
  </w:abstractNum>
  <w:abstractNum w:abstractNumId="2" w15:restartNumberingAfterBreak="0">
    <w:nsid w:val="2CCA0BDE"/>
    <w:multiLevelType w:val="hybridMultilevel"/>
    <w:tmpl w:val="CD7C9014"/>
    <w:lvl w:ilvl="0" w:tplc="E1D444D6">
      <w:start w:val="1"/>
      <w:numFmt w:val="decimal"/>
      <w:lvlText w:val="%1."/>
      <w:lvlJc w:val="left"/>
      <w:pPr>
        <w:ind w:left="502" w:hanging="272"/>
        <w:jc w:val="left"/>
      </w:pPr>
      <w:rPr>
        <w:rFonts w:ascii="Arial" w:eastAsia="Arial" w:hAnsi="Arial" w:cs="Arial" w:hint="default"/>
        <w:b/>
        <w:bCs/>
        <w:color w:val="231F20"/>
        <w:w w:val="100"/>
        <w:sz w:val="24"/>
        <w:szCs w:val="24"/>
        <w:lang w:val="en-US" w:eastAsia="en-US" w:bidi="he-IL"/>
      </w:rPr>
    </w:lvl>
    <w:lvl w:ilvl="1" w:tplc="556C90C6">
      <w:numFmt w:val="bullet"/>
      <w:lvlText w:val="•"/>
      <w:lvlJc w:val="left"/>
      <w:pPr>
        <w:ind w:left="1400" w:hanging="272"/>
      </w:pPr>
      <w:rPr>
        <w:rFonts w:hint="default"/>
        <w:lang w:val="en-US" w:eastAsia="en-US" w:bidi="he-IL"/>
      </w:rPr>
    </w:lvl>
    <w:lvl w:ilvl="2" w:tplc="8C3EC9F2">
      <w:numFmt w:val="bullet"/>
      <w:lvlText w:val="•"/>
      <w:lvlJc w:val="left"/>
      <w:pPr>
        <w:ind w:left="2301" w:hanging="272"/>
      </w:pPr>
      <w:rPr>
        <w:rFonts w:hint="default"/>
        <w:lang w:val="en-US" w:eastAsia="en-US" w:bidi="he-IL"/>
      </w:rPr>
    </w:lvl>
    <w:lvl w:ilvl="3" w:tplc="E57A157C">
      <w:numFmt w:val="bullet"/>
      <w:lvlText w:val="•"/>
      <w:lvlJc w:val="left"/>
      <w:pPr>
        <w:ind w:left="3201" w:hanging="272"/>
      </w:pPr>
      <w:rPr>
        <w:rFonts w:hint="default"/>
        <w:lang w:val="en-US" w:eastAsia="en-US" w:bidi="he-IL"/>
      </w:rPr>
    </w:lvl>
    <w:lvl w:ilvl="4" w:tplc="B04AA0EC">
      <w:numFmt w:val="bullet"/>
      <w:lvlText w:val="•"/>
      <w:lvlJc w:val="left"/>
      <w:pPr>
        <w:ind w:left="4102" w:hanging="272"/>
      </w:pPr>
      <w:rPr>
        <w:rFonts w:hint="default"/>
        <w:lang w:val="en-US" w:eastAsia="en-US" w:bidi="he-IL"/>
      </w:rPr>
    </w:lvl>
    <w:lvl w:ilvl="5" w:tplc="EC1A4DB0">
      <w:numFmt w:val="bullet"/>
      <w:lvlText w:val="•"/>
      <w:lvlJc w:val="left"/>
      <w:pPr>
        <w:ind w:left="5002" w:hanging="272"/>
      </w:pPr>
      <w:rPr>
        <w:rFonts w:hint="default"/>
        <w:lang w:val="en-US" w:eastAsia="en-US" w:bidi="he-IL"/>
      </w:rPr>
    </w:lvl>
    <w:lvl w:ilvl="6" w:tplc="BC10329E">
      <w:numFmt w:val="bullet"/>
      <w:lvlText w:val="•"/>
      <w:lvlJc w:val="left"/>
      <w:pPr>
        <w:ind w:left="5903" w:hanging="272"/>
      </w:pPr>
      <w:rPr>
        <w:rFonts w:hint="default"/>
        <w:lang w:val="en-US" w:eastAsia="en-US" w:bidi="he-IL"/>
      </w:rPr>
    </w:lvl>
    <w:lvl w:ilvl="7" w:tplc="5BDA1746">
      <w:numFmt w:val="bullet"/>
      <w:lvlText w:val="•"/>
      <w:lvlJc w:val="left"/>
      <w:pPr>
        <w:ind w:left="6803" w:hanging="272"/>
      </w:pPr>
      <w:rPr>
        <w:rFonts w:hint="default"/>
        <w:lang w:val="en-US" w:eastAsia="en-US" w:bidi="he-IL"/>
      </w:rPr>
    </w:lvl>
    <w:lvl w:ilvl="8" w:tplc="33469456">
      <w:numFmt w:val="bullet"/>
      <w:lvlText w:val="•"/>
      <w:lvlJc w:val="left"/>
      <w:pPr>
        <w:ind w:left="7704" w:hanging="272"/>
      </w:pPr>
      <w:rPr>
        <w:rFonts w:hint="default"/>
        <w:lang w:val="en-US" w:eastAsia="en-US" w:bidi="he-IL"/>
      </w:rPr>
    </w:lvl>
  </w:abstractNum>
  <w:abstractNum w:abstractNumId="3" w15:restartNumberingAfterBreak="0">
    <w:nsid w:val="6BDA6820"/>
    <w:multiLevelType w:val="hybridMultilevel"/>
    <w:tmpl w:val="A238E1A2"/>
    <w:lvl w:ilvl="0" w:tplc="ADA05F8A">
      <w:start w:val="1"/>
      <w:numFmt w:val="lowerLetter"/>
      <w:lvlText w:val="%1)"/>
      <w:lvlJc w:val="left"/>
      <w:pPr>
        <w:ind w:left="464" w:hanging="234"/>
        <w:jc w:val="left"/>
      </w:pPr>
      <w:rPr>
        <w:rFonts w:ascii="Arial" w:eastAsia="Arial" w:hAnsi="Arial" w:cs="Arial" w:hint="default"/>
        <w:color w:val="231F20"/>
        <w:spacing w:val="-1"/>
        <w:w w:val="100"/>
        <w:sz w:val="20"/>
        <w:szCs w:val="20"/>
        <w:lang w:val="en-US" w:eastAsia="en-US" w:bidi="he-IL"/>
      </w:rPr>
    </w:lvl>
    <w:lvl w:ilvl="1" w:tplc="CDA0307E">
      <w:numFmt w:val="bullet"/>
      <w:lvlText w:val="•"/>
      <w:lvlJc w:val="left"/>
      <w:pPr>
        <w:ind w:left="1364" w:hanging="234"/>
      </w:pPr>
      <w:rPr>
        <w:rFonts w:hint="default"/>
        <w:lang w:val="en-US" w:eastAsia="en-US" w:bidi="he-IL"/>
      </w:rPr>
    </w:lvl>
    <w:lvl w:ilvl="2" w:tplc="B218B4AA">
      <w:numFmt w:val="bullet"/>
      <w:lvlText w:val="•"/>
      <w:lvlJc w:val="left"/>
      <w:pPr>
        <w:ind w:left="2269" w:hanging="234"/>
      </w:pPr>
      <w:rPr>
        <w:rFonts w:hint="default"/>
        <w:lang w:val="en-US" w:eastAsia="en-US" w:bidi="he-IL"/>
      </w:rPr>
    </w:lvl>
    <w:lvl w:ilvl="3" w:tplc="8F96133E">
      <w:numFmt w:val="bullet"/>
      <w:lvlText w:val="•"/>
      <w:lvlJc w:val="left"/>
      <w:pPr>
        <w:ind w:left="3173" w:hanging="234"/>
      </w:pPr>
      <w:rPr>
        <w:rFonts w:hint="default"/>
        <w:lang w:val="en-US" w:eastAsia="en-US" w:bidi="he-IL"/>
      </w:rPr>
    </w:lvl>
    <w:lvl w:ilvl="4" w:tplc="ABC66AF4">
      <w:numFmt w:val="bullet"/>
      <w:lvlText w:val="•"/>
      <w:lvlJc w:val="left"/>
      <w:pPr>
        <w:ind w:left="4078" w:hanging="234"/>
      </w:pPr>
      <w:rPr>
        <w:rFonts w:hint="default"/>
        <w:lang w:val="en-US" w:eastAsia="en-US" w:bidi="he-IL"/>
      </w:rPr>
    </w:lvl>
    <w:lvl w:ilvl="5" w:tplc="6EF06CDE">
      <w:numFmt w:val="bullet"/>
      <w:lvlText w:val="•"/>
      <w:lvlJc w:val="left"/>
      <w:pPr>
        <w:ind w:left="4982" w:hanging="234"/>
      </w:pPr>
      <w:rPr>
        <w:rFonts w:hint="default"/>
        <w:lang w:val="en-US" w:eastAsia="en-US" w:bidi="he-IL"/>
      </w:rPr>
    </w:lvl>
    <w:lvl w:ilvl="6" w:tplc="D89EC8F8">
      <w:numFmt w:val="bullet"/>
      <w:lvlText w:val="•"/>
      <w:lvlJc w:val="left"/>
      <w:pPr>
        <w:ind w:left="5887" w:hanging="234"/>
      </w:pPr>
      <w:rPr>
        <w:rFonts w:hint="default"/>
        <w:lang w:val="en-US" w:eastAsia="en-US" w:bidi="he-IL"/>
      </w:rPr>
    </w:lvl>
    <w:lvl w:ilvl="7" w:tplc="81D42358">
      <w:numFmt w:val="bullet"/>
      <w:lvlText w:val="•"/>
      <w:lvlJc w:val="left"/>
      <w:pPr>
        <w:ind w:left="6791" w:hanging="234"/>
      </w:pPr>
      <w:rPr>
        <w:rFonts w:hint="default"/>
        <w:lang w:val="en-US" w:eastAsia="en-US" w:bidi="he-IL"/>
      </w:rPr>
    </w:lvl>
    <w:lvl w:ilvl="8" w:tplc="288A9BDE">
      <w:numFmt w:val="bullet"/>
      <w:lvlText w:val="•"/>
      <w:lvlJc w:val="left"/>
      <w:pPr>
        <w:ind w:left="7696" w:hanging="234"/>
      </w:pPr>
      <w:rPr>
        <w:rFonts w:hint="default"/>
        <w:lang w:val="en-US" w:eastAsia="en-US" w:bidi="he-IL"/>
      </w:rPr>
    </w:lvl>
  </w:abstractNum>
  <w:abstractNum w:abstractNumId="4" w15:restartNumberingAfterBreak="0">
    <w:nsid w:val="75256B74"/>
    <w:multiLevelType w:val="hybridMultilevel"/>
    <w:tmpl w:val="FEA828EC"/>
    <w:lvl w:ilvl="0" w:tplc="3B569F4A">
      <w:start w:val="1"/>
      <w:numFmt w:val="lowerLetter"/>
      <w:lvlText w:val="%1)"/>
      <w:lvlJc w:val="left"/>
      <w:pPr>
        <w:ind w:left="464" w:hanging="234"/>
        <w:jc w:val="left"/>
      </w:pPr>
      <w:rPr>
        <w:rFonts w:ascii="Arial" w:eastAsia="Arial" w:hAnsi="Arial" w:cs="Arial" w:hint="default"/>
        <w:color w:val="231F20"/>
        <w:spacing w:val="-1"/>
        <w:w w:val="100"/>
        <w:sz w:val="20"/>
        <w:szCs w:val="20"/>
        <w:lang w:val="en-US" w:eastAsia="en-US" w:bidi="he-IL"/>
      </w:rPr>
    </w:lvl>
    <w:lvl w:ilvl="1" w:tplc="53C4DFF4">
      <w:numFmt w:val="bullet"/>
      <w:lvlText w:val="•"/>
      <w:lvlJc w:val="left"/>
      <w:pPr>
        <w:ind w:left="1364" w:hanging="234"/>
      </w:pPr>
      <w:rPr>
        <w:rFonts w:hint="default"/>
        <w:lang w:val="en-US" w:eastAsia="en-US" w:bidi="he-IL"/>
      </w:rPr>
    </w:lvl>
    <w:lvl w:ilvl="2" w:tplc="55C865C0">
      <w:numFmt w:val="bullet"/>
      <w:lvlText w:val="•"/>
      <w:lvlJc w:val="left"/>
      <w:pPr>
        <w:ind w:left="2269" w:hanging="234"/>
      </w:pPr>
      <w:rPr>
        <w:rFonts w:hint="default"/>
        <w:lang w:val="en-US" w:eastAsia="en-US" w:bidi="he-IL"/>
      </w:rPr>
    </w:lvl>
    <w:lvl w:ilvl="3" w:tplc="E384DCD2">
      <w:numFmt w:val="bullet"/>
      <w:lvlText w:val="•"/>
      <w:lvlJc w:val="left"/>
      <w:pPr>
        <w:ind w:left="3173" w:hanging="234"/>
      </w:pPr>
      <w:rPr>
        <w:rFonts w:hint="default"/>
        <w:lang w:val="en-US" w:eastAsia="en-US" w:bidi="he-IL"/>
      </w:rPr>
    </w:lvl>
    <w:lvl w:ilvl="4" w:tplc="EFDED590">
      <w:numFmt w:val="bullet"/>
      <w:lvlText w:val="•"/>
      <w:lvlJc w:val="left"/>
      <w:pPr>
        <w:ind w:left="4078" w:hanging="234"/>
      </w:pPr>
      <w:rPr>
        <w:rFonts w:hint="default"/>
        <w:lang w:val="en-US" w:eastAsia="en-US" w:bidi="he-IL"/>
      </w:rPr>
    </w:lvl>
    <w:lvl w:ilvl="5" w:tplc="AD4EF818">
      <w:numFmt w:val="bullet"/>
      <w:lvlText w:val="•"/>
      <w:lvlJc w:val="left"/>
      <w:pPr>
        <w:ind w:left="4982" w:hanging="234"/>
      </w:pPr>
      <w:rPr>
        <w:rFonts w:hint="default"/>
        <w:lang w:val="en-US" w:eastAsia="en-US" w:bidi="he-IL"/>
      </w:rPr>
    </w:lvl>
    <w:lvl w:ilvl="6" w:tplc="4226FFD8">
      <w:numFmt w:val="bullet"/>
      <w:lvlText w:val="•"/>
      <w:lvlJc w:val="left"/>
      <w:pPr>
        <w:ind w:left="5887" w:hanging="234"/>
      </w:pPr>
      <w:rPr>
        <w:rFonts w:hint="default"/>
        <w:lang w:val="en-US" w:eastAsia="en-US" w:bidi="he-IL"/>
      </w:rPr>
    </w:lvl>
    <w:lvl w:ilvl="7" w:tplc="A5322284">
      <w:numFmt w:val="bullet"/>
      <w:lvlText w:val="•"/>
      <w:lvlJc w:val="left"/>
      <w:pPr>
        <w:ind w:left="6791" w:hanging="234"/>
      </w:pPr>
      <w:rPr>
        <w:rFonts w:hint="default"/>
        <w:lang w:val="en-US" w:eastAsia="en-US" w:bidi="he-IL"/>
      </w:rPr>
    </w:lvl>
    <w:lvl w:ilvl="8" w:tplc="91F032CE">
      <w:numFmt w:val="bullet"/>
      <w:lvlText w:val="•"/>
      <w:lvlJc w:val="left"/>
      <w:pPr>
        <w:ind w:left="7696" w:hanging="234"/>
      </w:pPr>
      <w:rPr>
        <w:rFonts w:hint="default"/>
        <w:lang w:val="en-US" w:eastAsia="en-US" w:bidi="he-IL"/>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210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9505FB"/>
    <w:rsid w:val="00037471"/>
    <w:rsid w:val="001A0091"/>
    <w:rsid w:val="003771BC"/>
    <w:rsid w:val="004F19D4"/>
    <w:rsid w:val="00527E69"/>
    <w:rsid w:val="00800875"/>
    <w:rsid w:val="00850C5A"/>
    <w:rsid w:val="009505FB"/>
    <w:rsid w:val="00AB1B6D"/>
    <w:rsid w:val="00AC26BA"/>
    <w:rsid w:val="00B210F4"/>
    <w:rsid w:val="00B37FE5"/>
    <w:rsid w:val="00C0711F"/>
    <w:rsid w:val="00CB4BBC"/>
    <w:rsid w:val="00E938D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01"/>
    <o:shapelayout v:ext="edit">
      <o:idmap v:ext="edit" data="1"/>
    </o:shapelayout>
  </w:shapeDefaults>
  <w:decimalSymbol w:val=","/>
  <w:listSeparator w:val=";"/>
  <w14:docId w14:val="307445E1"/>
  <w15:docId w15:val="{9FE12AAC-666E-4244-8625-CF175C6A5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938D5"/>
    <w:rPr>
      <w:rFonts w:ascii="Arial" w:eastAsia="Arial" w:hAnsi="Arial" w:cs="Arial"/>
      <w:lang w:bidi="he-IL"/>
    </w:rPr>
  </w:style>
  <w:style w:type="paragraph" w:styleId="Nagwek1">
    <w:name w:val="heading 1"/>
    <w:basedOn w:val="Normalny"/>
    <w:uiPriority w:val="9"/>
    <w:qFormat/>
    <w:rsid w:val="00E938D5"/>
    <w:pPr>
      <w:ind w:left="498" w:hanging="268"/>
      <w:outlineLvl w:val="0"/>
    </w:pPr>
    <w:rPr>
      <w:b/>
      <w:bCs/>
      <w:sz w:val="24"/>
      <w:szCs w:val="24"/>
    </w:rPr>
  </w:style>
  <w:style w:type="paragraph" w:styleId="Nagwek2">
    <w:name w:val="heading 2"/>
    <w:basedOn w:val="Normalny"/>
    <w:uiPriority w:val="9"/>
    <w:unhideWhenUsed/>
    <w:qFormat/>
    <w:rsid w:val="00E938D5"/>
    <w:pPr>
      <w:ind w:left="86"/>
      <w:jc w:val="center"/>
      <w:outlineLvl w:val="1"/>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E938D5"/>
    <w:tblPr>
      <w:tblInd w:w="0" w:type="dxa"/>
      <w:tblCellMar>
        <w:top w:w="0" w:type="dxa"/>
        <w:left w:w="0" w:type="dxa"/>
        <w:bottom w:w="0" w:type="dxa"/>
        <w:right w:w="0" w:type="dxa"/>
      </w:tblCellMar>
    </w:tblPr>
  </w:style>
  <w:style w:type="paragraph" w:styleId="Tekstpodstawowy">
    <w:name w:val="Body Text"/>
    <w:basedOn w:val="Normalny"/>
    <w:uiPriority w:val="1"/>
    <w:qFormat/>
    <w:rsid w:val="00E938D5"/>
    <w:pPr>
      <w:spacing w:before="10"/>
    </w:pPr>
    <w:rPr>
      <w:sz w:val="20"/>
      <w:szCs w:val="20"/>
    </w:rPr>
  </w:style>
  <w:style w:type="paragraph" w:styleId="Tytu">
    <w:name w:val="Title"/>
    <w:basedOn w:val="Normalny"/>
    <w:uiPriority w:val="10"/>
    <w:qFormat/>
    <w:rsid w:val="00E938D5"/>
    <w:pPr>
      <w:spacing w:before="24"/>
      <w:ind w:left="86" w:right="79"/>
      <w:jc w:val="center"/>
    </w:pPr>
    <w:rPr>
      <w:b/>
      <w:bCs/>
      <w:sz w:val="48"/>
      <w:szCs w:val="48"/>
    </w:rPr>
  </w:style>
  <w:style w:type="paragraph" w:styleId="Akapitzlist">
    <w:name w:val="List Paragraph"/>
    <w:basedOn w:val="Normalny"/>
    <w:uiPriority w:val="1"/>
    <w:qFormat/>
    <w:rsid w:val="00E938D5"/>
    <w:pPr>
      <w:spacing w:before="10"/>
      <w:ind w:left="464" w:hanging="234"/>
    </w:pPr>
  </w:style>
  <w:style w:type="paragraph" w:customStyle="1" w:styleId="TableParagraph">
    <w:name w:val="Table Paragraph"/>
    <w:basedOn w:val="Normalny"/>
    <w:uiPriority w:val="1"/>
    <w:qFormat/>
    <w:rsid w:val="00E938D5"/>
  </w:style>
  <w:style w:type="paragraph" w:styleId="Nagwek">
    <w:name w:val="header"/>
    <w:basedOn w:val="Normalny"/>
    <w:link w:val="NagwekZnak"/>
    <w:uiPriority w:val="99"/>
    <w:unhideWhenUsed/>
    <w:rsid w:val="001A0091"/>
    <w:pPr>
      <w:tabs>
        <w:tab w:val="center" w:pos="4536"/>
        <w:tab w:val="right" w:pos="9072"/>
      </w:tabs>
    </w:pPr>
  </w:style>
  <w:style w:type="character" w:customStyle="1" w:styleId="NagwekZnak">
    <w:name w:val="Nagłówek Znak"/>
    <w:basedOn w:val="Domylnaczcionkaakapitu"/>
    <w:link w:val="Nagwek"/>
    <w:uiPriority w:val="99"/>
    <w:rsid w:val="001A0091"/>
    <w:rPr>
      <w:rFonts w:ascii="Arial" w:eastAsia="Arial" w:hAnsi="Arial" w:cs="Arial"/>
      <w:lang w:bidi="he-IL"/>
    </w:rPr>
  </w:style>
  <w:style w:type="paragraph" w:styleId="Stopka">
    <w:name w:val="footer"/>
    <w:basedOn w:val="Normalny"/>
    <w:link w:val="StopkaZnak"/>
    <w:uiPriority w:val="99"/>
    <w:unhideWhenUsed/>
    <w:rsid w:val="001A0091"/>
    <w:pPr>
      <w:tabs>
        <w:tab w:val="center" w:pos="4536"/>
        <w:tab w:val="right" w:pos="9072"/>
      </w:tabs>
    </w:pPr>
  </w:style>
  <w:style w:type="character" w:customStyle="1" w:styleId="StopkaZnak">
    <w:name w:val="Stopka Znak"/>
    <w:basedOn w:val="Domylnaczcionkaakapitu"/>
    <w:link w:val="Stopka"/>
    <w:uiPriority w:val="99"/>
    <w:rsid w:val="001A0091"/>
    <w:rPr>
      <w:rFonts w:ascii="Arial" w:eastAsia="Arial" w:hAnsi="Arial" w:cs="Arial"/>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stypendia.studium@uw.edu.p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596</Words>
  <Characters>3579</Characters>
  <Application>Microsoft Office Word</Application>
  <DocSecurity>0</DocSecurity>
  <Lines>29</Lines>
  <Paragraphs>8</Paragraphs>
  <ScaleCrop>false</ScaleCrop>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Wocka</cp:lastModifiedBy>
  <cp:revision>7</cp:revision>
  <dcterms:created xsi:type="dcterms:W3CDTF">2020-11-03T08:24:00Z</dcterms:created>
  <dcterms:modified xsi:type="dcterms:W3CDTF">2020-11-03T20:23:00Z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2020-11-02T00:00:00Z</vt:filetime>
  </property>
  <property fmtid="{D5CDD505-2E9C-101B-9397-08002B2CF9AE}" pid="3" name="Creator">
    <vt:lpwstr>Adobe InDesign 16.0 (Windows)</vt:lpwstr>
  </property>
  <property fmtid="{D5CDD505-2E9C-101B-9397-08002B2CF9AE}" pid="4" name="LastSaved">
    <vt:filetime>2020-11-03T00:00:00Z</vt:filetime>
  </property>
</Properties>
</file>